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ROBERTA GALEAZZI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Per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il suo costante e instancabile impegno, profuso presso il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Laboratorio Analisi INRCA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fin dall'inizio della pandemia da Covid 19, nel suo ruolo di Professionista della Medicina di Laboratorio, sia nella fase di supporto alla ricerca, che nella attività clinica e di tracciamento specifico. L'impegno della Dottoressa Galeazzi rappresenta lo straordinario impegno di tanti, di ogni ordine e grado, che, nel laboratorio, e non solo, hanno contribuito al meglio e nella maniera più efficace, a fronteggiare una drammatica emergenza che ha rischiato di travolgere tutto e che ha trovato, invece, una pronta capacità di risposta, di adattamento e di resilienza.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 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30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2022-04-14T11:17:28Z</dcterms:modified>
  <cp:revision>42</cp:revision>
  <dc:title>MODELLO CIRIACHINO</dc:title>
</cp:coreProperties>
</file>